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 – СЧЕТНАЯ ПАЛАТА ГОРОДСКОГО ОКРУГА АНАДЫРЬ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───────────────────────────────────────────────</w:t>
      </w:r>
    </w:p>
    <w:p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Годовой отчет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о деятельности Контрольно-счетной палаты </w:t>
      </w:r>
    </w:p>
    <w:p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округа Анадырь за 2023 год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Анадырь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26 марта 2024 года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отчет подготовлен в соответствии требованиями статьи 19 Федерального закона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 (далее – Федеральный закон №6-ФЗ), пункта 20.2 раздела 20 Положения о Контрольно-счетной палате городского округа Анадырь, утвержденного Решением Совета депутатов городского округа Анадырь от 25 ноября 2021 года №187 «О Контрольно-счетной палате городского округа Анадырь», пункта 3.9 раздела 3 Регламента Контрольно-счетной палаты городского округа Анадырь, утвержденного распоряжением председателя от 1 декабря 2021 года №1-рп и содержит общую характеристику результатов деятельности Контрольно-счетной палаты городского округа Анадырь за 2023 год.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палата городского округа Анадырь (далее – Контрольно-счетная палата) является постоянно действующим органом внешнего муниципального финансового контроля, обладает организационной и функциональной независимостью и осуществляет свою деятельность самостоятельно.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задачей остается контроль за соблюдением законности, эффективности и результативности использования бюджетных средств и муниципальной собственности на всех этапах бюджетного процесса. </w:t>
      </w:r>
    </w:p>
    <w:p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отчетный период главным направлением работы Контрольно-счетной палаты оставалось укрепление и развитие системы внешнего финансового контроля в муниципальном образовании – Городской округ Анадырь.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палата подотчетна в своей деятельности Совету депутатов городского округа Анадырь (далее – Совет депутатов).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Фактическая численность сотрудников, обеспечивающих реализацию полномочий по осуществлению внешнего муниципального финансового контроля в отчетном году составляла два человека.</w:t>
      </w:r>
    </w:p>
    <w:p>
      <w:pPr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палата в отчетном году осуществляла свою деятельность на основе годового плана работы, который разработан и утвержден ею самостоятельно. При формировании плана работы Контрольно-счетной палаты учитывались: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предложения Совета депутатов, Главы городского округа Анадырь;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 Межмуниципального отдела Министерства внутренних дел Российской Федерации «Анадырский», Управления финансов, экономики и имущественных отношений Администрации городского округа Анадырь;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необходимость охвата объектов контроля различной отраслевой принадлежности;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сроки проведения мероприятий и объем проверяемых средств;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-результаты ранее проведенных контрольных и экспертно-аналитических мероприятий;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штатная численность Контрольно-счетной палаты.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работы Контрольно-счетной палаты на 2023 год реализован полностью. Структура плана и тематика включенных в него мероприятий обеспечила охват всех установленных законодательством полномочий органа внешнего муниципального финансового контроля.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выполнение органом внешнего муниципального финансового контроля городского округа Анадырь в 2023 году установленных полномочий, представлены в приложении 1 к настоящему отчету.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Перечень контрольных и экспертно-аналитических мероприятий, проведенных в 2023 году, содержится в приложении 2 к настоящему отчету.</w:t>
      </w:r>
    </w:p>
    <w:p>
      <w:pPr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 деятельности контрольно-счетной палаты в динамике 2022-2023 годах приведены в таблице.</w:t>
      </w:r>
    </w:p>
    <w:p>
      <w:pPr>
        <w:ind w:firstLine="85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3"/>
        <w:gridCol w:w="1417"/>
        <w:gridCol w:w="1270"/>
      </w:tblGrid>
      <w:tr>
        <w:trPr>
          <w:tblHeader/>
        </w:trPr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</w:tr>
      <w:tr>
        <w:trPr>
          <w:trHeight w:val="344"/>
          <w:tblHeader/>
        </w:trP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Проведено контрольных и экспертно-аналитических мероприятий (ед.), в том числе: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контрольных мероприятий (ед. 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экспертно-аналитических мероприятий (ед.)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проверенных средств (тыс. руб.)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10  457 382,7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22  893 764,5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выявленных нарушений и недостатков ( руб. 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1 137 787,46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101 516,3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направленных представлений (ед.)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охваченных контрольными мероприятиями (ед.)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Методическое обеспечение деятельности КСП, в том числе: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вновь разработаны и утверждены стандарты организации деятельности и внешнего муниципального финансового контроля (ед. 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вновь разработаны и утверждены методические рекомендации, применяемые КСП при осуществлении внешнего муниципального финансового контроля (ед.)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>
        <w:tc>
          <w:tcPr>
            <w:tcW w:w="66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Экспертиза муниципальных правовых актов (ед. 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d1eee4e5f0e6e8eceee5f2e0e1ebe8f6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>
      <w:pPr>
        <w:ind w:firstLine="850"/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Контрольно-счетная палата сохраняет ориентир на приоритетность экспертно-аналитической деятельности, направленной, в частности, на реализацию полномочий Контрольно-счетной палаты как участника стратегического планирования и возможность предупреждения и предотвращения финансовых нарушений при использовании бюджетных средств и муниципальной собственности. В отчетном периоде проведено: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 экспертно-аналитических мероприятий: в 2023 году Контрольно-счетная палата одновременно осуществляла контроль бюджетов: за 2022 год (исполнение за отчетный финансовый год); на 2023 год (текущее исполнение); на 2024 год и плановый период 2025 и 2026 годов (на стадии рассмотрения и утверждения); мероприятий по внешней проверке отчета об исполнении бюджета и бюджетной отчетности главных администраторов бюджетных средств;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-17 финансово-экономических экспертиз проектов нормативных правовых актов органов местного самоуправления.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осуществления предварительного, текущего и последующего контроля Контрольно-счетной палатой осуществляется экспертиза муниципальных программ, которые являются важнейшей «стратегической» частью бюджета.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Контрольно-счетной палатой проведено 11 финансово-экономических экспертиз проектов постановлений Администрации городского округа Анадырь о внесении изменений в муниципальные программы, финансовое обеспечение которых предусмотрено за счет бюджетных средств.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финансово-экономических экспертиз показали, что финансовое обеспечение и ожидаемые конечные результаты реализации муниципальных программ менялись в связи с пересмотром значений показателей муниципальных программ с целью повышения их эффективности, приведением финансового обеспечения муниципальных программ в соответствие с Решением о бюджете.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 ходе экспертиз выявлены следующие недостатки: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-внесение изменений в объем финансового обеспечения муниципальных программ (в целях его приведения в соответствие с Решением о бюджете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период) за пределами установленного срока;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-несоответствие объема финансового обеспечения на реализацию муниципальных программ, предусмотренного проектом постановления, бюджетным ассигнованиям, предусмотренным Решением о бюджете;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-наличие технических ошибок в проектах постановлений;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-отсутствие в составе обосновывающих материалов к проекту постановления обоснования изменения предлагаемых значений показателя (индикатора) муниципальных программ.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Сохраняется актуальность замечаний Контрольно-счетной палаты об отсутствии в ряде случаев взаимосвязи между объемами финансового обеспечения муниципальных программ и значениями показателей (индикаторов), планируемых к достижению. Таким образом, остаются сложности с проведением объективной оценки хода и результатов реализации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программ. 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деятельность Контрольно-счетной палаты в 2023 году была направлена на повышение эффективности управления и использования муниципальных ресурсов, консолидацию всех участников бюджетного процесса в целях достижения задач стратегического развития городского округа Анадырь. При проведении контрольных мероприятий большое значение придавалось профилактике нарушений. 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году проведено 7 контрольных мероприятий, в том числе с применением аудита в сфере закупок проведено 1 контрольное мероприятие на 1 объекте контроля. По результатам указанного мероприятия отмечены нарушения системного характера, как при планировании, так и при осуществлении объектом контроля муниципальных закупок: 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нарушение требований, установленных пунктом 12 Требований 186н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 при изменениях объемов планируемых поступлений, а также объемов и направлений выплат уточненный план финансово-хозяйственной деятельности объектом контроля на официальном сайте сети Интернет не размещался;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нарушение требований части 1 статьи 16 Федерального закона №44-ФЗ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, подпункта «г» пункта 18 Постановления Правительства РФ №1279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 xml:space="preserve"> при планировании закупок в план-график не внесена информация о закупках, которые осуществлены в соответствии с пунктом 4 части 1 статьи 93 Федерального закона №44-ФЗ, что носит признаки административного правонарушения по ч.3 ст. 7.30 КоАП РФ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нарушение требований части 13.1 статьи 34 Федерального закона №44-ФЗ: оплата заказчиком поставленного товара, выполненной работы, оказанной услуги произведена с нарушением сроков, предусмотренных контрактом, что носит признаки административного правонарушения по ч.1 ст. 7.32.5 КоАП РФ;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нарушение требования, установленного частью 3 статьи 103 Федерального закона №44-ФЗ: несвоевременное направление информации, подлежащей включению в Реестр контрактов, что носит признаки административного правонарушения по ч.2 ст. 7.31 КоАП РФ.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установления единых подходов к квалификации нарушений и классификации их по видам Контрольно-счетная палата применяла Классификатор нарушений, выявляемых в ходе внешнего государственного аудита (контроля), утвержденного   постановлением Коллегии Счетной палаты Российской Федерации от 21 декабря 2021 г. № 14ПК.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осуществлении внешнего муниципального контроля в 2023 году выявлено 65 нарушений на общую сумму 101 516,3 тысяч рублей.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количество нарушений выявлено: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формировании и исполнении бюджетов – 35 нарушений (53,8 процента от общего количества выявленных нарушений) на сумму 72 669,0 тысяч рублей (71,6 процента от общей суммы выявленных нарушений);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нарушения установленных единых требований к бюджетному (бухгалтерскому) учету, в том числе бюджетной, бухгалтерской (финансовой) отчетности – 8 нарушений (12,3 процента от общего количества выявленных нарушений);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нарушения в сфере управления и распоряжения государственной (муниципальной) собственностью – 2 нарушений (3,1 процента от общего количества выявленных нарушений) на сумму 17 550,7 тысяч рублей (17,3 процента от общей суммы выявленных нарушений);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-нарушения при осуществлении государственных (муниципальных) закупок и закупок отдельными видами юридических лиц – 19 нарушений (29,2 процента от общего количества выявленных нарушений) на сумму 11 296,6 тысяч рублей (11,1 процента от общей суммы выявленных нарушений);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нарушения – 1 нарушение (1,5 процента от общего количества выявленных нарушений).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Фактов нецелевого использования бюджетных средств городского округа Анадырь в 2023 году не выявлено.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постоянной основе Контрольно-счетной палатой осуществляется межведомственное взаимодействие с правоохранительными и надзорными органами в рамках заключенных соглашений.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между Контрольно – счетной палатой городского округа Анадырь и Анадырской межрайонной прокуратурой заключено соглашение о сотрудничестве.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заключенных соглашений о сотрудничестве и взаимодействии часть контрольных и экспертно-аналитических мероприятий проводилась в формате совместных: 1 контрольное мероприятие - совместно с Управлением финансов, экономики и имущественных отношений Администрации городского округа Анадырь, 2 контрольных мероприятий - совместно с Межмуниципальным отделом Министерства внутренних дел Российской Федерации «Анадырский».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выполнения Контрольно-счетной палатой возложенных полномочий, а также на основании направленных представлений, в бюджет города возвращено 86,2 тысяч рублей.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мероприятий свидетельствуют о том, что при использовании средств бюджета города и муниципальной собственности в основном соблюдались требования действующего бюджетного законодательства и подзаконных актов, принятых для его реализации. Вместе с тем имели место как нарушения, так и недостатки в финансово-бюджетной сфере.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проведенных экспертиз правовых актов городского округа Анадырь Контрольно-счетной палатой даны рекомендации по их совершенствованию, а также на устранение нарушений норм действующего законодательства.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полномочий по подготовке информации о результатах проведенных контрольных мероприятий в адрес Главы городского округа Анадырь и Совета депутатов направлялись отчеты по итогам проверок, а также информация о ходе исполнения бюджета городского округа Анадырь в 2023 году.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методического обеспечения деятельности велась работа по совершенствованию стандартов внешнего муниципального финансового контроля.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Контрольно-счетной палате проводится системная работа, направленная на повышение квалификации сотрудников, совершенствование кадрового состава, развитие профессиональных знаний. </w:t>
      </w:r>
      <w:r>
        <w:rPr>
          <w:rFonts w:ascii="Times New Roman" w:eastAsia="Calibri" w:hAnsi="Times New Roman" w:cs="Times New Roman"/>
          <w:iCs/>
          <w:sz w:val="28"/>
          <w:szCs w:val="28"/>
        </w:rPr>
        <w:t>В 2023 году два сотрудника Контрольно-счетной палаты успешно прошли обучение, организованное Федеральным государственным бюджетным образовательным учреждением высшего образования «Новосибирский государственный университет экономики и управления «НЯИНХ», по дополнительной профессиональной программе повышения квалификации «Государственный и муниципальный финансовый контроль в субъектах федерации».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совершенствования своей деятельности, обмена опытом и получения информационных материалов Контрольно-счетная палата продолжает взаимодействовать со Счетной палатой Чукотского автономного округа. 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сотрудники Контрольно-счетной палаты принимали участие в заседаниях Совета Контрольно-счетных органов Чукотского автономного округа, в заседаниях рабочих комиссий и сессиях Совета депутатов городского округа Анадырь.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 2023 года Контрольно-счетная палата состоит в Союзе муниципальных контрольно-счетных органов, миссия которого – от совершенствования внешнего муниципального финансового контроля к содействию развития муниципалитетов и повышению качества жизни населения; Контрольно-счетная палата в своей деятельности активно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взаимодействует с Советом Представительства Союза муниципальных контрольно-счетных органов в Дальневосточном федеральном округе.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года сотрудники принимали участие в мероприятиях, организованных Союзом муниципальных контрольно-счетных органов в режиме видеоконференцсвязи по вопросам внедрения передовых практик осуществления внешнего муниципального финансового контроля. 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результатов контрольных и экспертно-аналитических мероприятий отчетного года и поступивших предложений сформирован план работы Контрольно-счетной палаты на 2024 год.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деятельность контрольного органа обеспечивается посредством размещения информации на официальном сайте Администрации городского округа Анадырь.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Контрольно-счетной палаты </w:t>
      </w:r>
    </w:p>
    <w:p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Анадырь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Н. Д. Червоняк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  <w:highlight w:val="cyan"/>
        </w:rPr>
      </w:pPr>
    </w:p>
    <w:p>
      <w:pPr>
        <w:spacing w:after="0"/>
        <w:jc w:val="right"/>
      </w:pPr>
      <w:r>
        <w:tab/>
      </w: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</w:pP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Показатели, характеризующие выполнение органом внешнего муниципального финансового контроля городского округа Анадырь в 2023 году установленных полномочий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5336"/>
        <w:gridCol w:w="3959"/>
      </w:tblGrid>
      <w:tr>
        <w:trPr>
          <w:tblHeader/>
          <w:tblCellSpacing w:w="20" w:type="dxa"/>
        </w:trPr>
        <w:tc>
          <w:tcPr>
            <w:tcW w:w="2850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86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мероприятий</w:t>
            </w:r>
          </w:p>
        </w:tc>
      </w:tr>
      <w:tr>
        <w:trPr>
          <w:tblHeader/>
          <w:tblCellSpacing w:w="20" w:type="dxa"/>
        </w:trPr>
        <w:tc>
          <w:tcPr>
            <w:tcW w:w="2850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086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>
        <w:trPr>
          <w:tblCellSpacing w:w="20" w:type="dxa"/>
        </w:trPr>
        <w:tc>
          <w:tcPr>
            <w:tcW w:w="4957" w:type="pct"/>
            <w:gridSpan w:val="2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деятельность</w:t>
            </w:r>
          </w:p>
        </w:tc>
      </w:tr>
      <w:tr>
        <w:trPr>
          <w:tblCellSpacing w:w="20" w:type="dxa"/>
        </w:trPr>
        <w:tc>
          <w:tcPr>
            <w:tcW w:w="2850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контроля за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</w:t>
            </w:r>
          </w:p>
        </w:tc>
        <w:tc>
          <w:tcPr>
            <w:tcW w:w="20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>
        <w:trPr>
          <w:tblCellSpacing w:w="20" w:type="dxa"/>
        </w:trPr>
        <w:tc>
          <w:tcPr>
            <w:tcW w:w="2850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Аудит в сфере закупок товаров, работ, услуг для муниципальных нужд</w:t>
            </w:r>
          </w:p>
        </w:tc>
        <w:tc>
          <w:tcPr>
            <w:tcW w:w="20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>
        <w:trPr>
          <w:tblCellSpacing w:w="20" w:type="dxa"/>
        </w:trPr>
        <w:tc>
          <w:tcPr>
            <w:tcW w:w="2850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08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  <w:tr>
        <w:trPr>
          <w:tblCellSpacing w:w="20" w:type="dxa"/>
        </w:trPr>
        <w:tc>
          <w:tcPr>
            <w:tcW w:w="4957" w:type="pct"/>
            <w:gridSpan w:val="2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Экспертно-аналитическая деятельность</w:t>
            </w:r>
          </w:p>
        </w:tc>
      </w:tr>
      <w:tr>
        <w:trPr>
          <w:tblCellSpacing w:w="20" w:type="dxa"/>
        </w:trPr>
        <w:tc>
          <w:tcPr>
            <w:tcW w:w="2850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 за исполнением местного бюджета</w:t>
            </w:r>
          </w:p>
        </w:tc>
        <w:tc>
          <w:tcPr>
            <w:tcW w:w="20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>
        <w:trPr>
          <w:tblCellSpacing w:w="20" w:type="dxa"/>
        </w:trPr>
        <w:tc>
          <w:tcPr>
            <w:tcW w:w="2850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Экспертиза проектов местного бюджета</w:t>
            </w:r>
          </w:p>
        </w:tc>
        <w:tc>
          <w:tcPr>
            <w:tcW w:w="20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</w:tr>
      <w:tr>
        <w:trPr>
          <w:tblCellSpacing w:w="20" w:type="dxa"/>
        </w:trPr>
        <w:tc>
          <w:tcPr>
            <w:tcW w:w="2850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Внешняя проверка годового отчета об исполнении местного бюджета</w:t>
            </w:r>
          </w:p>
        </w:tc>
        <w:tc>
          <w:tcPr>
            <w:tcW w:w="20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>
        <w:trPr>
          <w:tblCellSpacing w:w="20" w:type="dxa"/>
        </w:trPr>
        <w:tc>
          <w:tcPr>
            <w:tcW w:w="2850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</w:t>
            </w:r>
          </w:p>
        </w:tc>
        <w:tc>
          <w:tcPr>
            <w:tcW w:w="20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</w:tr>
      <w:tr>
        <w:trPr>
          <w:tblCellSpacing w:w="20" w:type="dxa"/>
        </w:trPr>
        <w:tc>
          <w:tcPr>
            <w:tcW w:w="2850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08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</w:tr>
      <w:tr>
        <w:trPr>
          <w:tblCellSpacing w:w="20" w:type="dxa"/>
        </w:trPr>
        <w:tc>
          <w:tcPr>
            <w:tcW w:w="4957" w:type="pct"/>
            <w:gridSpan w:val="2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Информационная и иная деятельность </w:t>
            </w:r>
          </w:p>
        </w:tc>
      </w:tr>
      <w:tr>
        <w:trPr>
          <w:tblCellSpacing w:w="20" w:type="dxa"/>
        </w:trPr>
        <w:tc>
          <w:tcPr>
            <w:tcW w:w="2850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представительный орган муниципального образования и Главе муниципального образования</w:t>
            </w:r>
          </w:p>
        </w:tc>
        <w:tc>
          <w:tcPr>
            <w:tcW w:w="20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</w:tr>
      <w:tr>
        <w:trPr>
          <w:tblCellSpacing w:w="20" w:type="dxa"/>
        </w:trPr>
        <w:tc>
          <w:tcPr>
            <w:tcW w:w="2850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0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</w:tr>
      <w:tr>
        <w:trPr>
          <w:tblCellSpacing w:w="20" w:type="dxa"/>
        </w:trPr>
        <w:tc>
          <w:tcPr>
            <w:tcW w:w="2850" w:type="pct"/>
            <w:tcBorders>
              <w:bottom w:val="outset" w:sz="2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2086" w:type="pct"/>
            <w:tcBorders>
              <w:bottom w:val="outset" w:sz="2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</w:tbl>
    <w:p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контрольных и экспертно-аналитических мероприятий, проведенных органом внешнего муниципального финансового контроля городского округа Анадырь в 2023 году</w:t>
      </w:r>
    </w:p>
    <w:p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5358"/>
        <w:gridCol w:w="3937"/>
      </w:tblGrid>
      <w:tr>
        <w:trPr>
          <w:tblCellSpacing w:w="20" w:type="dxa"/>
        </w:trPr>
        <w:tc>
          <w:tcPr>
            <w:tcW w:w="2849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контрольного, экспертно-аналитического мероприятия </w:t>
            </w:r>
          </w:p>
        </w:tc>
        <w:tc>
          <w:tcPr>
            <w:tcW w:w="2086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 (предмет) контрольного, экспертно-аналитического мероприятия</w:t>
            </w:r>
          </w:p>
        </w:tc>
      </w:tr>
      <w:tr>
        <w:trPr>
          <w:tblCellSpacing w:w="20" w:type="dxa"/>
        </w:trPr>
        <w:tc>
          <w:tcPr>
            <w:tcW w:w="2849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086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законности предоставления и эффективного использования средств бюджета городского округа Анадырь, направленных в виде субсидии субъектам предпринимательской деятельности на финансовое обеспечение части затрат на развитие овощеводства закрытого грунта в 2022 году</w:t>
            </w:r>
          </w:p>
        </w:tc>
        <w:tc>
          <w:tcPr>
            <w:tcW w:w="2086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Управление финансов, экономики и имущественных отношений Администрации городского округа Анадырь; Индивидуальный предприниматель Макатров Павел Александрович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Оценка правомерности и эффективности предоставления и использования субсидий на выполнение муниципального задания, предоставленных из бюджета городского округа Анадырь муниципальному автономному учреждению дополнительного образования «Дворец детского и юношеского творчества городского округа Анадырь» в 2022 году</w:t>
            </w:r>
          </w:p>
        </w:tc>
        <w:tc>
          <w:tcPr>
            <w:tcW w:w="2086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Муниципальное автономное учреждение дополнительного образования «Дворец детского и юношеского творчества городского округа Анадырь»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законности использования бюджетных средств, направленных в 2022 году и истекшем периоде 2023 года на оплату труда работников Управления по социальной политике Администрации городского округа Анадырь</w:t>
            </w:r>
          </w:p>
        </w:tc>
        <w:tc>
          <w:tcPr>
            <w:tcW w:w="2086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Управление по социальной политике Администрации городского округа Анадырь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законности и эффективности использования бюджетных средств, направленных в 2022 году и истекшем периоде 2023 года муниципальным бюджетным и автономным образовательным учреждениям городского округа Анадырь в виде субсидии на иные цели на выплату денежной компенсации за наем (поднаем) жилых помещений специалистам  муниципальных образовательных организаций</w:t>
            </w:r>
          </w:p>
        </w:tc>
        <w:tc>
          <w:tcPr>
            <w:tcW w:w="2086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Муниципальное бюджетное общеобразовательное учреждение «Основная общеобразовательная школа №1 города Анадыря»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законности использования бюджетных средств, направленных на компенсацию расходов по оплате стоимости проезда и провоза багажа к месту проведения отпуска и обратно сотрудников Муниципального автономного учреждения дополнительного образования «Детская школа искусств городского округа Анадырь» за 2022 год</w:t>
            </w:r>
          </w:p>
        </w:tc>
        <w:tc>
          <w:tcPr>
            <w:tcW w:w="2086" w:type="pct"/>
            <w:tcBorders>
              <w:top w:val="outset" w:sz="24" w:space="0" w:color="auto"/>
            </w:tcBorders>
          </w:tcPr>
          <w:p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Муниципальное автономное учреждение дополнительного образования «Детская школа искусств городского округа Анадырь»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>
        <w:trPr>
          <w:trHeight w:val="1949"/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законности и эффективности использования бюджетных средств, направленных в 2022 году и истекшем периоде 2023 года муниципальным бюджетным и автономным образовательным учреждениям городского округа Анадырь в виде субсидии на иные цели на выплату денежной компенсации за наем (поднаем) жилых помещений специалистам  муниципальных образовательных организаций</w:t>
            </w:r>
          </w:p>
        </w:tc>
        <w:tc>
          <w:tcPr>
            <w:tcW w:w="2086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</w:rPr>
              <w:t>Муниципальное бюджетное дошкольное образовательное учреждение «Детский сад комбинированного вида «Золотой ключик» города Анадыря»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Аудит в сфере закупок товаров, работ, услуг для муниципальных нужд,  осуществляемых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Муниципальным бюджетным общеобразовательным учреждением 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 xml:space="preserve">«Средняя общеобразовательная школа №1 города Анадыря»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 2022 год</w:t>
            </w:r>
          </w:p>
        </w:tc>
        <w:tc>
          <w:tcPr>
            <w:tcW w:w="2086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Муниципальное бюджетное общеобразовательное учреждение «Средняя общеобразовательная школа № 1 города Анадыря»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Внешняя проверка годовой бюджетной отчетности главных администраторов средств бюджета городского округа Анадырь за 2022 год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086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Администрация городского округа Анадырь;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Управление финансов, экономики и имущественных отношений Администрации городского округа Анадырь;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Управление по социальной политике Администрации городского округа Анадырь;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Совет депутатов городского округа Анадырь;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Контрольно-счетная палата городского округа Анадырь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Внешняя проверка годового отчета об исполнении бюджета городского округа Анадырь за 2022 год и подготовка заключения по её результатам</w:t>
            </w:r>
          </w:p>
        </w:tc>
        <w:tc>
          <w:tcPr>
            <w:tcW w:w="2086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Администрация городского округа Анадырь; Управление финансов, экономики и имущественных отношений Администрации городского округа Анадырь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Экспертизы проектов решений Совета депутатов городского округа Анадырь «О внесении изменений в решение Совета депутатов городского округа Анадырь от 22 декабря 2022 года № 326 «О бюджете городского округа Анадырь на 2023 год и плановый период 2024 и 2025 годов»</w:t>
            </w:r>
          </w:p>
        </w:tc>
        <w:tc>
          <w:tcPr>
            <w:tcW w:w="2086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Проекты решений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Экспертизы исполнения бюджета за 1 квартал, полугодие, 9 месяцев 2023 года</w:t>
            </w:r>
          </w:p>
        </w:tc>
        <w:tc>
          <w:tcPr>
            <w:tcW w:w="2086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Отчеты об исполнении бюджета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Заключение на проект решения Совета депутатов городского округа Анадырь «О бюджете городского округа Анадырь на 2024 год и плановый период 2025 и 202 годов»</w:t>
            </w:r>
          </w:p>
        </w:tc>
        <w:tc>
          <w:tcPr>
            <w:tcW w:w="2086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 решения</w:t>
            </w:r>
          </w:p>
        </w:tc>
      </w:tr>
      <w:tr>
        <w:trPr>
          <w:tblHeader/>
          <w:tblCellSpacing w:w="20" w:type="dxa"/>
        </w:trPr>
        <w:tc>
          <w:tcPr>
            <w:tcW w:w="2849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Финансово-экономические экспертизы проектов муниципальных правовых актов (включая обоснованность финансово-экономических обоснований) в части, касающейся расходных обязательств городского округа Анадырь, а также муниципальных программ городского округа Анадырь</w:t>
            </w:r>
          </w:p>
        </w:tc>
        <w:tc>
          <w:tcPr>
            <w:tcW w:w="2086" w:type="pct"/>
            <w:tcBorders>
              <w:top w:val="outset" w:sz="24" w:space="0" w:color="auto"/>
              <w:bottom w:val="outset" w:sz="2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Проекты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муниципальных правовых актов;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проекты муниципальных программ</w:t>
            </w:r>
          </w:p>
        </w:tc>
      </w:tr>
    </w:tbl>
    <w:p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/>
    <w:p/>
    <w:p>
      <w:pPr>
        <w:jc w:val="both"/>
      </w:pPr>
    </w:p>
    <w:sectPr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8351715"/>
      <w:docPartObj>
        <w:docPartGallery w:val="Page Numbers (Bottom of Page)"/>
        <w:docPartUnique/>
      </w:docPartObj>
    </w:sdtPr>
    <w:sdtContent>
      <w:p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Решение Совета депутатов городского округа Анадырь от 22 декабря 2022 года № 326 «О бюджете городского округа Анадырь на 2023 год и плановый период 2024 и 2025 годов» (далее – Решение о бюджете).</w:t>
      </w:r>
    </w:p>
  </w:footnote>
  <w:footnote w:id="2">
    <w:p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Приказ Минфина России от 31.08.2018 №186н «О Требованиях к составлению и утверждению плана финансово-хозяйственной деятельности государственного (муниципального) учреждения» (далее – Требования №186).  </w:t>
      </w:r>
    </w:p>
  </w:footnote>
  <w:footnote w:id="3">
    <w:p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Федеральный закон от 05.04.2013 №44-ФЗ «О контрактной системе в сфере закупок товаров, работ, услуг для обеспечения государственных и муниципальных нужд» (далее – Федеральный закон №44-ФЗ). </w:t>
      </w:r>
    </w:p>
  </w:footnote>
  <w:footnote w:id="4">
    <w:p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Постановление Правительства РФ от 30.09.2019 №1279 «О планах-графиках закупок и о признании утратившими силу отдельных решений Правительства Российской Федерации» (вместе с «Положением о порядке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на официальном сайте такой системы в информационно-телекоммуникационной сети «Интернет», об особенностях включения информации в такие планы-графики и планирования закупок заказчиком, осуществляющим деятельность на территории иностранного государства, а также о требованиях к форме планов-графиков закупок») (далее - Постановления Правительства РФ №1279).</w:t>
      </w:r>
    </w:p>
  </w:footnote>
  <w:footnote w:id="5">
    <w:p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Кодекс Российской Федерации об административных правонарушениях от 30.12.2001 №195-ФЗ (далее - КоАП РФ).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2B18D-5D5F-45A2-AB2C-1C420D93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  <w:style w:type="paragraph" w:customStyle="1" w:styleId="cee1fbf7edfbe9e2e5e1">
    <w:name w:val="Оceбe1ыfbчf7нedыfbйe9 (вe2еe5бe1)"/>
    <w:basedOn w:val="a"/>
    <w:uiPriority w:val="99"/>
    <w:pPr>
      <w:widowControl w:val="0"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pPr>
      <w:widowControl w:val="0"/>
      <w:suppressLineNumbers/>
      <w:autoSpaceDE w:val="0"/>
      <w:autoSpaceDN w:val="0"/>
      <w:adjustRightInd w:val="0"/>
      <w:spacing w:after="0" w:line="240" w:lineRule="auto"/>
    </w:pPr>
    <w:rPr>
      <w:rFonts w:ascii="Liberation Serif" w:eastAsiaTheme="minorEastAsia" w:hAnsi="Liberation Serif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4B37B-543C-4DFA-889B-73227D57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10</Pages>
  <Words>3114</Words>
  <Characters>17755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Червоняк</dc:creator>
  <cp:keywords/>
  <dc:description/>
  <cp:lastModifiedBy>Ирина Листопадова</cp:lastModifiedBy>
  <cp:revision>11</cp:revision>
  <cp:lastPrinted>2024-03-26T22:54:00Z</cp:lastPrinted>
  <dcterms:created xsi:type="dcterms:W3CDTF">2024-03-26T09:17:00Z</dcterms:created>
  <dcterms:modified xsi:type="dcterms:W3CDTF">2024-04-01T05:11:00Z</dcterms:modified>
</cp:coreProperties>
</file>